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r>
        <w:rPr>
          <w:rFonts w:hint="eastAsia" w:ascii="黑体" w:eastAsia="黑体"/>
          <w:sz w:val="32"/>
          <w:szCs w:val="32"/>
        </w:rPr>
        <w:t>附件</w:t>
      </w:r>
      <w:r>
        <w:rPr>
          <w:rFonts w:hint="eastAsia" w:asci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年度全</w:t>
      </w:r>
      <w:r>
        <w:rPr>
          <w:rFonts w:hint="eastAsia" w:ascii="宋体" w:hAnsi="宋体" w:eastAsia="宋体" w:cs="宋体"/>
          <w:b/>
          <w:bCs/>
          <w:sz w:val="44"/>
          <w:szCs w:val="44"/>
          <w:lang w:eastAsia="zh-CN"/>
        </w:rPr>
        <w:t>市</w:t>
      </w:r>
      <w:r>
        <w:rPr>
          <w:rFonts w:hint="eastAsia" w:ascii="宋体" w:hAnsi="宋体" w:eastAsia="宋体" w:cs="宋体"/>
          <w:b/>
          <w:bCs/>
          <w:sz w:val="44"/>
          <w:szCs w:val="44"/>
        </w:rPr>
        <w:t>统战理论政策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研究创新成果一等奖篇目（共10篇）</w:t>
      </w:r>
    </w:p>
    <w:p>
      <w:pPr>
        <w:pStyle w:val="2"/>
        <w:pageBreakBefore w:val="0"/>
        <w:widowControl w:val="0"/>
        <w:numPr>
          <w:ilvl w:val="0"/>
          <w:numId w:val="0"/>
        </w:numPr>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lang w:val="en-US" w:eastAsia="zh-CN"/>
        </w:rPr>
      </w:pPr>
    </w:p>
    <w:p>
      <w:pPr>
        <w:pStyle w:val="2"/>
        <w:pageBreakBefore w:val="0"/>
        <w:widowControl w:val="0"/>
        <w:numPr>
          <w:ilvl w:val="0"/>
          <w:numId w:val="0"/>
        </w:numPr>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rPr>
      </w:pPr>
      <w:r>
        <w:rPr>
          <w:rFonts w:hint="eastAsia" w:ascii="仿宋_GB2312" w:hAnsi="仿宋_GB2312" w:eastAsia="仿宋_GB2312" w:cs="仿宋_GB2312"/>
          <w:b w:val="0"/>
          <w:bCs w:val="0"/>
          <w:color w:val="000000"/>
          <w:sz w:val="33"/>
          <w:szCs w:val="33"/>
          <w:lang w:val="en-US" w:eastAsia="zh-CN"/>
        </w:rPr>
        <w:t>1.</w:t>
      </w:r>
      <w:r>
        <w:rPr>
          <w:rFonts w:hint="eastAsia" w:ascii="仿宋_GB2312" w:hAnsi="仿宋_GB2312" w:eastAsia="仿宋_GB2312" w:cs="仿宋_GB2312"/>
          <w:b w:val="0"/>
          <w:bCs w:val="0"/>
          <w:color w:val="000000"/>
          <w:sz w:val="33"/>
          <w:szCs w:val="33"/>
        </w:rPr>
        <w:t>奋进百年：统一战线政策百年发展的主要内容、特点和经验研究</w:t>
      </w:r>
    </w:p>
    <w:p>
      <w:pPr>
        <w:pStyle w:val="2"/>
        <w:pageBreakBefore w:val="0"/>
        <w:widowControl w:val="0"/>
        <w:numPr>
          <w:ilvl w:val="0"/>
          <w:numId w:val="0"/>
        </w:numPr>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rPr>
      </w:pPr>
      <w:r>
        <w:rPr>
          <w:rFonts w:hint="eastAsia" w:ascii="仿宋_GB2312" w:hAnsi="仿宋_GB2312" w:eastAsia="仿宋_GB2312" w:cs="仿宋_GB2312"/>
          <w:b w:val="0"/>
          <w:bCs w:val="0"/>
          <w:color w:val="000000"/>
          <w:sz w:val="33"/>
          <w:szCs w:val="33"/>
        </w:rPr>
        <w:t>2.数字技术社会化进程中民族交往交流交融的实践路径研究</w:t>
      </w:r>
    </w:p>
    <w:p>
      <w:pPr>
        <w:pStyle w:val="2"/>
        <w:pageBreakBefore w:val="0"/>
        <w:widowControl w:val="0"/>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rPr>
      </w:pPr>
      <w:r>
        <w:rPr>
          <w:rFonts w:hint="eastAsia" w:ascii="仿宋_GB2312" w:hAnsi="仿宋_GB2312" w:eastAsia="仿宋_GB2312" w:cs="仿宋_GB2312"/>
          <w:b w:val="0"/>
          <w:bCs w:val="0"/>
          <w:color w:val="000000"/>
          <w:sz w:val="33"/>
          <w:szCs w:val="33"/>
        </w:rPr>
        <w:t>3.挖掘连商历史底蕴在更好发挥商会功能中的作用研究</w:t>
      </w:r>
      <w:r>
        <w:rPr>
          <w:rFonts w:hint="eastAsia" w:ascii="仿宋_GB2312" w:hAnsi="仿宋_GB2312" w:eastAsia="仿宋_GB2312" w:cs="仿宋_GB2312"/>
          <w:b w:val="0"/>
          <w:bCs w:val="0"/>
          <w:color w:val="000000"/>
          <w:sz w:val="33"/>
          <w:szCs w:val="33"/>
        </w:rPr>
        <w:tab/>
      </w:r>
    </w:p>
    <w:p>
      <w:pPr>
        <w:pStyle w:val="2"/>
        <w:pageBreakBefore w:val="0"/>
        <w:widowControl w:val="0"/>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rPr>
      </w:pPr>
      <w:r>
        <w:rPr>
          <w:rFonts w:hint="eastAsia" w:ascii="仿宋_GB2312" w:hAnsi="仿宋_GB2312" w:eastAsia="仿宋_GB2312" w:cs="仿宋_GB2312"/>
          <w:b w:val="0"/>
          <w:bCs w:val="0"/>
          <w:color w:val="000000"/>
          <w:sz w:val="33"/>
          <w:szCs w:val="33"/>
        </w:rPr>
        <w:t>4.基于OODA环理论应对统一战线污名化问题研究</w:t>
      </w:r>
    </w:p>
    <w:p>
      <w:pPr>
        <w:pStyle w:val="2"/>
        <w:pageBreakBefore w:val="0"/>
        <w:widowControl w:val="0"/>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rPr>
      </w:pPr>
      <w:r>
        <w:rPr>
          <w:rFonts w:hint="eastAsia" w:ascii="仿宋_GB2312" w:hAnsi="仿宋_GB2312" w:eastAsia="仿宋_GB2312" w:cs="仿宋_GB2312"/>
          <w:b w:val="0"/>
          <w:bCs w:val="0"/>
          <w:color w:val="000000"/>
          <w:sz w:val="33"/>
          <w:szCs w:val="33"/>
        </w:rPr>
        <w:t>5.马克思人学视域下的中华民族共同体意识教育研究</w:t>
      </w:r>
    </w:p>
    <w:p>
      <w:pPr>
        <w:pStyle w:val="2"/>
        <w:pageBreakBefore w:val="0"/>
        <w:widowControl w:val="0"/>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rPr>
      </w:pPr>
      <w:r>
        <w:rPr>
          <w:rFonts w:hint="eastAsia" w:ascii="仿宋_GB2312" w:hAnsi="仿宋_GB2312" w:eastAsia="仿宋_GB2312" w:cs="仿宋_GB2312"/>
          <w:b w:val="0"/>
          <w:bCs w:val="0"/>
          <w:color w:val="000000"/>
          <w:sz w:val="33"/>
          <w:szCs w:val="33"/>
        </w:rPr>
        <w:t>6.新时代基层统战干部媒介素养的影响因素与提升策略研究</w:t>
      </w:r>
    </w:p>
    <w:p>
      <w:pPr>
        <w:pStyle w:val="2"/>
        <w:pageBreakBefore w:val="0"/>
        <w:widowControl w:val="0"/>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rPr>
      </w:pPr>
      <w:r>
        <w:rPr>
          <w:rFonts w:hint="eastAsia" w:ascii="仿宋_GB2312" w:hAnsi="仿宋_GB2312" w:eastAsia="仿宋_GB2312" w:cs="仿宋_GB2312"/>
          <w:b w:val="0"/>
          <w:bCs w:val="0"/>
          <w:color w:val="000000"/>
          <w:sz w:val="33"/>
          <w:szCs w:val="33"/>
        </w:rPr>
        <w:t>7.中国新型政党制度优势转化为国家治理效能的制约因素及优化对策研究</w:t>
      </w:r>
      <w:r>
        <w:rPr>
          <w:rFonts w:hint="eastAsia" w:ascii="仿宋_GB2312" w:hAnsi="仿宋_GB2312" w:eastAsia="仿宋_GB2312" w:cs="仿宋_GB2312"/>
          <w:b w:val="0"/>
          <w:bCs w:val="0"/>
          <w:color w:val="000000"/>
          <w:sz w:val="33"/>
          <w:szCs w:val="33"/>
        </w:rPr>
        <w:tab/>
      </w:r>
    </w:p>
    <w:p>
      <w:pPr>
        <w:pStyle w:val="2"/>
        <w:pageBreakBefore w:val="0"/>
        <w:widowControl w:val="0"/>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rPr>
      </w:pPr>
      <w:r>
        <w:rPr>
          <w:rFonts w:hint="eastAsia" w:ascii="仿宋_GB2312" w:hAnsi="仿宋_GB2312" w:eastAsia="仿宋_GB2312" w:cs="仿宋_GB2312"/>
          <w:b w:val="0"/>
          <w:bCs w:val="0"/>
          <w:color w:val="000000"/>
          <w:sz w:val="33"/>
          <w:szCs w:val="33"/>
        </w:rPr>
        <w:t>8.党外干部提升“政治三力”的实践路径研究</w:t>
      </w:r>
      <w:r>
        <w:rPr>
          <w:rFonts w:hint="eastAsia" w:ascii="仿宋_GB2312" w:hAnsi="仿宋_GB2312" w:eastAsia="仿宋_GB2312" w:cs="仿宋_GB2312"/>
          <w:b w:val="0"/>
          <w:bCs w:val="0"/>
          <w:color w:val="000000"/>
          <w:sz w:val="33"/>
          <w:szCs w:val="33"/>
        </w:rPr>
        <w:tab/>
      </w:r>
    </w:p>
    <w:p>
      <w:pPr>
        <w:pStyle w:val="2"/>
        <w:pageBreakBefore w:val="0"/>
        <w:widowControl w:val="0"/>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rPr>
      </w:pPr>
      <w:r>
        <w:rPr>
          <w:rFonts w:hint="eastAsia" w:ascii="仿宋_GB2312" w:hAnsi="仿宋_GB2312" w:eastAsia="仿宋_GB2312" w:cs="仿宋_GB2312"/>
          <w:b w:val="0"/>
          <w:bCs w:val="0"/>
          <w:color w:val="000000"/>
          <w:sz w:val="33"/>
          <w:szCs w:val="33"/>
        </w:rPr>
        <w:t>9.工商联作为民间商会的功能演进逻辑及改革路径探析</w:t>
      </w:r>
    </w:p>
    <w:p>
      <w:pPr>
        <w:pStyle w:val="2"/>
        <w:pageBreakBefore w:val="0"/>
        <w:widowControl w:val="0"/>
        <w:kinsoku/>
        <w:wordWrap/>
        <w:topLinePunct w:val="0"/>
        <w:autoSpaceDE/>
        <w:autoSpaceDN/>
        <w:bidi w:val="0"/>
        <w:adjustRightInd/>
        <w:snapToGrid/>
        <w:spacing w:line="360" w:lineRule="auto"/>
        <w:ind w:firstLine="660" w:firstLineChars="200"/>
        <w:jc w:val="left"/>
        <w:textAlignment w:val="auto"/>
        <w:rPr>
          <w:rFonts w:hint="eastAsia" w:ascii="仿宋_GB2312" w:hAnsi="仿宋_GB2312" w:eastAsia="仿宋_GB2312" w:cs="仿宋_GB2312"/>
          <w:b w:val="0"/>
          <w:bCs w:val="0"/>
          <w:color w:val="000000"/>
          <w:sz w:val="33"/>
          <w:szCs w:val="33"/>
        </w:rPr>
      </w:pPr>
      <w:r>
        <w:rPr>
          <w:rFonts w:hint="eastAsia" w:ascii="仿宋_GB2312" w:hAnsi="仿宋_GB2312" w:eastAsia="仿宋_GB2312" w:cs="仿宋_GB2312"/>
          <w:b w:val="0"/>
          <w:bCs w:val="0"/>
          <w:color w:val="000000"/>
          <w:sz w:val="33"/>
          <w:szCs w:val="33"/>
        </w:rPr>
        <w:t>10.新时代加强高校青年党外代表人士统战工作路径研究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YmE1OTNiNDU2NGJhNWY5ZjQ2Yzg0NTJhOTNmMTgifQ=="/>
  </w:docVars>
  <w:rsids>
    <w:rsidRoot w:val="3F672E10"/>
    <w:rsid w:val="3F67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overflowPunct w:val="0"/>
      <w:spacing w:line="560" w:lineRule="exact"/>
      <w:jc w:val="center"/>
      <w:outlineLvl w:val="0"/>
    </w:pPr>
    <w:rPr>
      <w:rFonts w:ascii="Calibri" w:hAnsi="Calibri" w:cs="Times New Roman"/>
      <w:b/>
      <w:bCs/>
      <w:kern w:val="44"/>
      <w:sz w:val="44"/>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296</Characters>
  <Lines>0</Lines>
  <Paragraphs>0</Paragraphs>
  <TotalTime>0</TotalTime>
  <ScaleCrop>false</ScaleCrop>
  <LinksUpToDate>false</LinksUpToDate>
  <CharactersWithSpaces>299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2023-04-06T04:16:00Z</dcterms:created>
  <dc:creator>周南江</dc:creator>
  <cp:lastModifiedBy>周南江</cp:lastModifiedBy>
  <dcterms:modified xsi:type="dcterms:W3CDTF">2023-04-06T04:16:48Z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048A4CEB7A7E454DB2060327D2D01F36_11</vt:lpwstr>
  </property>
</Properties>
</file>