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0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2022年度全国统战理论政策研</w:t>
      </w:r>
      <w:bookmarkStart w:id="0" w:name="_GoBack"/>
      <w:bookmarkEnd w:id="0"/>
      <w:r>
        <w:rPr>
          <w:rFonts w:hint="eastAsia" w:ascii="黑体" w:hAnsi="黑体" w:eastAsia="黑体" w:cs="黑体"/>
          <w:sz w:val="44"/>
          <w:szCs w:val="44"/>
          <w:lang w:val="en-US" w:eastAsia="zh-CN"/>
        </w:rPr>
        <w:t>究</w:t>
      </w:r>
    </w:p>
    <w:p>
      <w:pPr>
        <w:spacing w:line="60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创新成果一等奖篇目</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eastAsia="zh-CN"/>
        </w:rPr>
      </w:pPr>
      <w:r>
        <w:rPr>
          <w:rFonts w:hint="eastAsia" w:ascii="仿宋_GB2312" w:hAnsi="仿宋_GB2312" w:eastAsia="仿宋_GB2312" w:cs="仿宋_GB2312"/>
          <w:sz w:val="34"/>
          <w:szCs w:val="32"/>
          <w:lang w:val="en-US" w:eastAsia="zh-CN"/>
        </w:rPr>
        <w:t>1.</w:t>
      </w:r>
      <w:r>
        <w:rPr>
          <w:rFonts w:hint="eastAsia" w:ascii="仿宋_GB2312" w:hAnsi="仿宋_GB2312" w:eastAsia="仿宋_GB2312" w:cs="仿宋_GB2312"/>
          <w:sz w:val="34"/>
          <w:szCs w:val="32"/>
          <w:lang w:eastAsia="zh-CN"/>
        </w:rPr>
        <w:t>新时代海外统战工作的新挑战及对策研究</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eastAsia="zh-CN"/>
        </w:rPr>
      </w:pPr>
      <w:r>
        <w:rPr>
          <w:rFonts w:hint="eastAsia" w:ascii="仿宋_GB2312" w:hAnsi="仿宋_GB2312" w:eastAsia="仿宋_GB2312" w:cs="仿宋_GB2312"/>
          <w:sz w:val="34"/>
          <w:szCs w:val="32"/>
          <w:lang w:val="en-US" w:eastAsia="zh-CN"/>
        </w:rPr>
        <w:t>2.</w:t>
      </w:r>
      <w:r>
        <w:rPr>
          <w:rFonts w:hint="eastAsia" w:ascii="仿宋_GB2312" w:hAnsi="仿宋_GB2312" w:eastAsia="仿宋_GB2312" w:cs="仿宋_GB2312"/>
          <w:sz w:val="34"/>
          <w:szCs w:val="32"/>
          <w:lang w:eastAsia="zh-CN"/>
        </w:rPr>
        <w:t>北京市铸牢中华民族共同体意识实践路径研究报告</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eastAsia="zh-CN"/>
        </w:rPr>
      </w:pPr>
      <w:r>
        <w:rPr>
          <w:rFonts w:hint="eastAsia" w:ascii="仿宋_GB2312" w:hAnsi="仿宋_GB2312" w:eastAsia="仿宋_GB2312" w:cs="仿宋_GB2312"/>
          <w:sz w:val="34"/>
          <w:szCs w:val="32"/>
          <w:lang w:val="en-US" w:eastAsia="zh-CN"/>
        </w:rPr>
        <w:t>3.</w:t>
      </w:r>
      <w:r>
        <w:rPr>
          <w:rFonts w:hint="eastAsia" w:ascii="仿宋_GB2312" w:hAnsi="仿宋_GB2312" w:eastAsia="仿宋_GB2312" w:cs="仿宋_GB2312"/>
          <w:sz w:val="34"/>
          <w:szCs w:val="32"/>
          <w:lang w:eastAsia="zh-CN"/>
        </w:rPr>
        <w:t>国有资本入股民营企业背景下的促进“两个健康”研究</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eastAsia="zh-CN"/>
        </w:rPr>
      </w:pPr>
      <w:r>
        <w:rPr>
          <w:rFonts w:hint="eastAsia" w:ascii="仿宋_GB2312" w:hAnsi="仿宋_GB2312" w:eastAsia="仿宋_GB2312" w:cs="仿宋_GB2312"/>
          <w:sz w:val="34"/>
          <w:szCs w:val="32"/>
          <w:lang w:val="en-US" w:eastAsia="zh-CN"/>
        </w:rPr>
        <w:t>4.</w:t>
      </w:r>
      <w:r>
        <w:rPr>
          <w:rFonts w:hint="eastAsia" w:ascii="仿宋_GB2312" w:hAnsi="仿宋_GB2312" w:eastAsia="仿宋_GB2312" w:cs="仿宋_GB2312"/>
          <w:sz w:val="34"/>
          <w:szCs w:val="32"/>
          <w:lang w:eastAsia="zh-CN"/>
        </w:rPr>
        <w:t>中华民族共同体视野下中华文化符号和中华民族形象体系在涉藏地区的建构研究——以四川涉藏地区为例</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val="en-US" w:eastAsia="zh-CN"/>
        </w:rPr>
      </w:pPr>
      <w:r>
        <w:rPr>
          <w:rFonts w:hint="eastAsia" w:ascii="仿宋_GB2312" w:hAnsi="仿宋_GB2312" w:eastAsia="仿宋_GB2312" w:cs="仿宋_GB2312"/>
          <w:sz w:val="34"/>
          <w:szCs w:val="32"/>
          <w:lang w:val="en-US" w:eastAsia="zh-CN"/>
        </w:rPr>
        <w:t>5.</w:t>
      </w:r>
      <w:r>
        <w:rPr>
          <w:rFonts w:hint="eastAsia" w:ascii="仿宋_GB2312" w:hAnsi="仿宋_GB2312" w:eastAsia="仿宋_GB2312" w:cs="仿宋_GB2312"/>
          <w:sz w:val="34"/>
          <w:szCs w:val="32"/>
          <w:lang w:eastAsia="zh-CN"/>
        </w:rPr>
        <w:t>网络人士思想政治工作的对策建议——以</w:t>
      </w:r>
      <w:r>
        <w:rPr>
          <w:rFonts w:hint="eastAsia" w:ascii="仿宋_GB2312" w:hAnsi="仿宋_GB2312" w:eastAsia="仿宋_GB2312" w:cs="仿宋_GB2312"/>
          <w:sz w:val="34"/>
          <w:szCs w:val="32"/>
          <w:lang w:val="en-US" w:eastAsia="zh-CN"/>
        </w:rPr>
        <w:t>2020-2022年百度、抖音、头条、B站近800位大V为例</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val="en-US" w:eastAsia="zh-CN"/>
        </w:rPr>
      </w:pPr>
      <w:r>
        <w:rPr>
          <w:rFonts w:hint="eastAsia" w:ascii="仿宋_GB2312" w:hAnsi="仿宋_GB2312" w:eastAsia="仿宋_GB2312" w:cs="仿宋_GB2312"/>
          <w:sz w:val="34"/>
          <w:szCs w:val="32"/>
          <w:lang w:val="en-US" w:eastAsia="zh-CN"/>
        </w:rPr>
        <w:t>6.坚持系统观念，推动统战工作融入基层党建和社会治理体系路径分析</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val="en-US" w:eastAsia="zh-CN"/>
        </w:rPr>
      </w:pPr>
      <w:r>
        <w:rPr>
          <w:rFonts w:hint="eastAsia" w:ascii="仿宋_GB2312" w:hAnsi="仿宋_GB2312" w:eastAsia="仿宋_GB2312" w:cs="仿宋_GB2312"/>
          <w:sz w:val="34"/>
          <w:szCs w:val="32"/>
          <w:lang w:val="en-US" w:eastAsia="zh-CN"/>
        </w:rPr>
        <w:t>7.对台统战工作的话语体系及宣传策略研究</w:t>
      </w:r>
    </w:p>
    <w:p>
      <w:pPr>
        <w:keepNext w:val="0"/>
        <w:keepLines w:val="0"/>
        <w:pageBreakBefore w:val="0"/>
        <w:widowControl w:val="0"/>
        <w:kinsoku/>
        <w:wordWrap/>
        <w:overflowPunct/>
        <w:topLinePunct w:val="0"/>
        <w:bidi w:val="0"/>
        <w:snapToGrid/>
        <w:spacing w:line="360" w:lineRule="auto"/>
        <w:ind w:firstLine="680" w:firstLineChars="200"/>
        <w:textAlignment w:val="auto"/>
        <w:rPr>
          <w:rFonts w:hint="eastAsia" w:ascii="仿宋_GB2312" w:hAnsi="仿宋_GB2312" w:eastAsia="仿宋_GB2312" w:cs="仿宋_GB2312"/>
          <w:sz w:val="34"/>
          <w:szCs w:val="32"/>
          <w:lang w:val="en-US" w:eastAsia="zh-CN"/>
        </w:rPr>
      </w:pPr>
      <w:r>
        <w:rPr>
          <w:rFonts w:hint="eastAsia" w:ascii="仿宋_GB2312" w:hAnsi="仿宋_GB2312" w:eastAsia="仿宋_GB2312" w:cs="仿宋_GB2312"/>
          <w:sz w:val="34"/>
          <w:szCs w:val="32"/>
          <w:lang w:val="en-US" w:eastAsia="zh-CN"/>
        </w:rPr>
        <w:t>8.坚持全面系统整体推进，支持宗教界全面从严治教——以浙江为例</w:t>
      </w:r>
    </w:p>
    <w:p>
      <w:pPr>
        <w:keepNext w:val="0"/>
        <w:keepLines w:val="0"/>
        <w:pageBreakBefore w:val="0"/>
        <w:widowControl w:val="0"/>
        <w:kinsoku/>
        <w:wordWrap/>
        <w:overflowPunct/>
        <w:topLinePunct w:val="0"/>
        <w:bidi w:val="0"/>
        <w:snapToGrid/>
        <w:spacing w:line="360" w:lineRule="auto"/>
        <w:ind w:firstLine="680" w:firstLineChars="200"/>
        <w:textAlignment w:val="auto"/>
        <w:rPr>
          <w:rFonts w:ascii="仿宋" w:hAnsi="仿宋" w:eastAsia="仿宋"/>
          <w:sz w:val="34"/>
        </w:rPr>
      </w:pPr>
      <w:r>
        <w:rPr>
          <w:rFonts w:hint="eastAsia" w:ascii="仿宋_GB2312" w:hAnsi="仿宋_GB2312" w:eastAsia="仿宋_GB2312" w:cs="仿宋_GB2312"/>
          <w:sz w:val="34"/>
          <w:szCs w:val="32"/>
          <w:lang w:val="en-US" w:eastAsia="zh-CN"/>
        </w:rPr>
        <w:t>9.民主党派政治交接的时代内涵、现实问题与深化路径研究——以地方组织为观察视角</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YmE1OTNiNDU2NGJhNWY5ZjQ2Yzg0NTJhOTNmMTgifQ=="/>
  </w:docVars>
  <w:rsids>
    <w:rsidRoot w:val="58CD7FAA"/>
    <w:rsid w:val="58CD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2023-04-06T04:15:00Z</dcterms:created>
  <dc:creator>周南江</dc:creator>
  <cp:lastModifiedBy>周南江</cp:lastModifiedBy>
  <dcterms:modified xsi:type="dcterms:W3CDTF">2023-04-06T04:16:06Z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1BFCD8F585BB40EBB84EB3798F4884B0_11</vt:lpwstr>
  </property>
</Properties>
</file>