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3975" w:firstLineChars="1100"/>
        <w:jc w:val="both"/>
        <w:rPr>
          <w:rFonts w:hint="eastAsia" w:ascii="仿宋" w:hAnsi="仿宋" w:eastAsia="仿宋" w:cs="仿宋"/>
          <w:sz w:val="28"/>
          <w:szCs w:val="28"/>
          <w:lang w:eastAsia="zh-CN"/>
        </w:rPr>
      </w:pPr>
      <w:r>
        <w:rPr>
          <w:rFonts w:hint="eastAsia"/>
          <w:b/>
          <w:bCs/>
          <w:sz w:val="36"/>
          <w:szCs w:val="44"/>
          <w:lang w:val="en-US" w:eastAsia="zh-CN"/>
        </w:rPr>
        <w:t>中国大学生心理健康测评系统全国均分</w:t>
      </w:r>
    </w:p>
    <w:tbl>
      <w:tblPr>
        <w:tblStyle w:val="7"/>
        <w:tblW w:w="14104" w:type="dxa"/>
        <w:tblInd w:w="0" w:type="dxa"/>
        <w:tblBorders>
          <w:top w:val="single" w:color="E2E2E2"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718"/>
        <w:gridCol w:w="666"/>
        <w:gridCol w:w="1662"/>
        <w:gridCol w:w="666"/>
        <w:gridCol w:w="2366"/>
        <w:gridCol w:w="666"/>
        <w:gridCol w:w="2366"/>
        <w:gridCol w:w="666"/>
        <w:gridCol w:w="1662"/>
        <w:gridCol w:w="666"/>
      </w:tblGrid>
      <w:tr>
        <w:tblPrEx>
          <w:tblBorders>
            <w:top w:val="single" w:color="E2E2E2"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0" w:hRule="atLeast"/>
        </w:trPr>
        <w:tc>
          <w:tcPr>
            <w:tcW w:w="2718"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幻觉、妄想症状</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4.88</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自杀意图</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4.6</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焦虑</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5.78</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抑郁</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7.45</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偏执</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5.84</w:t>
            </w:r>
          </w:p>
        </w:tc>
      </w:tr>
      <w:tr>
        <w:tblPrEx>
          <w:tblBorders>
            <w:top w:val="single" w:color="E2E2E2"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2718"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自卑</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7.41</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敏感</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6.49</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社交恐惧</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5.84</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躯体化</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5.27</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依赖</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6.05</w:t>
            </w:r>
          </w:p>
        </w:tc>
      </w:tr>
      <w:tr>
        <w:tblPrEx>
          <w:tblBorders>
            <w:top w:val="single" w:color="E2E2E2"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2718"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敌对攻击</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5.34</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冲动</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6.47</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强迫</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6.19</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网络成瘾</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7.91</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自伤行为</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4.77</w:t>
            </w:r>
          </w:p>
        </w:tc>
      </w:tr>
      <w:tr>
        <w:tblPrEx>
          <w:tblBorders>
            <w:top w:val="single" w:color="E2E2E2"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2718"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进食问题</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5.39</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睡眠困扰</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6.26</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学校适应困难</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6.6</w:t>
            </w:r>
          </w:p>
        </w:tc>
        <w:tc>
          <w:tcPr>
            <w:tcW w:w="23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人际关系困扰</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6.02</w:t>
            </w:r>
          </w:p>
        </w:tc>
        <w:tc>
          <w:tcPr>
            <w:tcW w:w="166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学业压力</w:t>
            </w:r>
          </w:p>
        </w:tc>
        <w:tc>
          <w:tcPr>
            <w:tcW w:w="666" w:type="dxa"/>
            <w:tcBorders>
              <w:top w:val="single" w:color="DDDDDD" w:sz="6" w:space="0"/>
              <w:left w:val="single" w:color="DDDDDD" w:sz="6" w:space="0"/>
              <w:bottom w:val="single" w:color="DDDDDD" w:sz="6" w:space="0"/>
              <w:right w:val="single" w:color="DDDDDD" w:sz="6" w:space="0"/>
            </w:tcBorders>
            <w:shd w:val="clear" w:color="auto" w:fill="FFFFFF"/>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7.43</w:t>
            </w:r>
          </w:p>
        </w:tc>
      </w:tr>
      <w:tr>
        <w:tblPrEx>
          <w:tblBorders>
            <w:top w:val="single" w:color="E2E2E2"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2718"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就业压力</w:t>
            </w:r>
          </w:p>
        </w:tc>
        <w:tc>
          <w:tcPr>
            <w:tcW w:w="666"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7.99</w:t>
            </w:r>
          </w:p>
        </w:tc>
        <w:tc>
          <w:tcPr>
            <w:tcW w:w="1662"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r>
              <w:rPr>
                <w:rFonts w:hint="eastAsia" w:ascii="微软雅黑" w:hAnsi="微软雅黑" w:eastAsia="微软雅黑" w:cs="微软雅黑"/>
                <w:b/>
                <w:bCs/>
                <w:i w:val="0"/>
                <w:caps w:val="0"/>
                <w:color w:val="666666"/>
                <w:spacing w:val="0"/>
                <w:kern w:val="0"/>
                <w:sz w:val="24"/>
                <w:szCs w:val="24"/>
                <w:lang w:val="en-US" w:eastAsia="zh-CN" w:bidi="ar"/>
              </w:rPr>
              <w:t>恋爱困扰</w:t>
            </w:r>
          </w:p>
        </w:tc>
        <w:tc>
          <w:tcPr>
            <w:tcW w:w="666"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lang w:val="en-US" w:eastAsia="zh-CN"/>
              </w:rPr>
            </w:pPr>
            <w:r>
              <w:rPr>
                <w:rFonts w:hint="eastAsia" w:ascii="微软雅黑" w:hAnsi="微软雅黑" w:eastAsia="微软雅黑" w:cs="微软雅黑"/>
                <w:b/>
                <w:bCs/>
                <w:i w:val="0"/>
                <w:caps w:val="0"/>
                <w:color w:val="666666"/>
                <w:spacing w:val="0"/>
                <w:sz w:val="24"/>
                <w:szCs w:val="24"/>
                <w:lang w:val="en-US" w:eastAsia="zh-CN"/>
              </w:rPr>
              <w:t>6.02</w:t>
            </w:r>
          </w:p>
        </w:tc>
        <w:tc>
          <w:tcPr>
            <w:tcW w:w="2366"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p>
        </w:tc>
        <w:tc>
          <w:tcPr>
            <w:tcW w:w="666" w:type="dxa"/>
            <w:tcBorders>
              <w:top w:val="single" w:color="DDDDDD" w:sz="6" w:space="0"/>
              <w:left w:val="single" w:color="DDDDDD" w:sz="6" w:space="0"/>
              <w:bottom w:val="single" w:color="DDDDDD" w:sz="6" w:space="0"/>
              <w:right w:val="single" w:color="DDDDDD" w:sz="6" w:space="0"/>
            </w:tcBorders>
            <w:shd w:val="clear" w:color="auto" w:fill="FFFFE3"/>
            <w:tcMar>
              <w:top w:w="105" w:type="dxa"/>
              <w:left w:w="75" w:type="dxa"/>
              <w:bottom w:w="10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bCs/>
                <w:i w:val="0"/>
                <w:caps w:val="0"/>
                <w:color w:val="666666"/>
                <w:spacing w:val="0"/>
                <w:sz w:val="24"/>
                <w:szCs w:val="24"/>
              </w:rPr>
            </w:pPr>
          </w:p>
        </w:tc>
        <w:tc>
          <w:tcPr>
            <w:tcW w:w="2366" w:type="dxa"/>
            <w:shd w:val="clear" w:color="auto" w:fill="FFFFFF"/>
            <w:vAlign w:val="center"/>
          </w:tcPr>
          <w:p>
            <w:pPr>
              <w:keepNext w:val="0"/>
              <w:keepLines w:val="0"/>
              <w:widowControl/>
              <w:suppressLineNumbers w:val="0"/>
              <w:spacing w:before="0" w:beforeAutospacing="0" w:afterAutospacing="0"/>
              <w:ind w:left="0" w:right="0"/>
              <w:rPr>
                <w:rFonts w:hint="eastAsia" w:ascii="微软雅黑" w:hAnsi="微软雅黑" w:eastAsia="微软雅黑" w:cs="微软雅黑"/>
                <w:b/>
                <w:bCs/>
                <w:i w:val="0"/>
                <w:caps w:val="0"/>
                <w:color w:val="666666"/>
                <w:spacing w:val="0"/>
                <w:sz w:val="24"/>
                <w:szCs w:val="24"/>
              </w:rPr>
            </w:pPr>
          </w:p>
        </w:tc>
        <w:tc>
          <w:tcPr>
            <w:tcW w:w="666" w:type="dxa"/>
            <w:shd w:val="clear" w:color="auto" w:fill="FFFFFF"/>
            <w:vAlign w:val="center"/>
          </w:tcPr>
          <w:p>
            <w:pPr>
              <w:keepNext w:val="0"/>
              <w:keepLines w:val="0"/>
              <w:widowControl/>
              <w:suppressLineNumbers w:val="0"/>
              <w:spacing w:before="0" w:beforeAutospacing="0" w:afterAutospacing="0"/>
              <w:ind w:left="0" w:right="0"/>
              <w:rPr>
                <w:rFonts w:hint="eastAsia" w:ascii="微软雅黑" w:hAnsi="微软雅黑" w:eastAsia="微软雅黑" w:cs="微软雅黑"/>
                <w:b/>
                <w:bCs/>
                <w:i w:val="0"/>
                <w:caps w:val="0"/>
                <w:color w:val="666666"/>
                <w:spacing w:val="0"/>
                <w:sz w:val="24"/>
                <w:szCs w:val="24"/>
              </w:rPr>
            </w:pPr>
          </w:p>
        </w:tc>
        <w:tc>
          <w:tcPr>
            <w:tcW w:w="1662" w:type="dxa"/>
            <w:shd w:val="clear" w:color="auto" w:fill="FFFFFF"/>
            <w:vAlign w:val="center"/>
          </w:tcPr>
          <w:p>
            <w:pPr>
              <w:keepNext w:val="0"/>
              <w:keepLines w:val="0"/>
              <w:widowControl/>
              <w:suppressLineNumbers w:val="0"/>
              <w:spacing w:before="0" w:beforeAutospacing="0" w:afterAutospacing="0"/>
              <w:ind w:left="0" w:right="0"/>
              <w:rPr>
                <w:rFonts w:hint="eastAsia" w:ascii="微软雅黑" w:hAnsi="微软雅黑" w:eastAsia="微软雅黑" w:cs="微软雅黑"/>
                <w:b/>
                <w:bCs/>
                <w:i w:val="0"/>
                <w:caps w:val="0"/>
                <w:color w:val="666666"/>
                <w:spacing w:val="0"/>
                <w:sz w:val="24"/>
                <w:szCs w:val="24"/>
              </w:rPr>
            </w:pPr>
          </w:p>
        </w:tc>
        <w:tc>
          <w:tcPr>
            <w:tcW w:w="666" w:type="dxa"/>
            <w:shd w:val="clear" w:color="auto" w:fill="FFFFFF"/>
            <w:vAlign w:val="center"/>
          </w:tcPr>
          <w:p>
            <w:pPr>
              <w:keepNext w:val="0"/>
              <w:keepLines w:val="0"/>
              <w:widowControl/>
              <w:suppressLineNumbers w:val="0"/>
              <w:spacing w:before="0" w:beforeAutospacing="0" w:afterAutospacing="0"/>
              <w:ind w:left="0" w:right="0"/>
              <w:rPr>
                <w:rFonts w:hint="eastAsia" w:ascii="微软雅黑" w:hAnsi="微软雅黑" w:eastAsia="微软雅黑" w:cs="微软雅黑"/>
                <w:b/>
                <w:bCs/>
                <w:i w:val="0"/>
                <w:caps w:val="0"/>
                <w:color w:val="666666"/>
                <w:spacing w:val="0"/>
                <w:sz w:val="24"/>
                <w:szCs w:val="24"/>
              </w:rPr>
            </w:pPr>
          </w:p>
        </w:tc>
      </w:tr>
    </w:tbl>
    <w:p>
      <w:pPr>
        <w:jc w:val="both"/>
        <w:rPr>
          <w:rFonts w:hint="eastAsia"/>
          <w:sz w:val="36"/>
          <w:szCs w:val="44"/>
          <w:lang w:val="en-US" w:eastAsia="zh-CN"/>
        </w:rPr>
      </w:pPr>
    </w:p>
    <w:p>
      <w:pPr>
        <w:jc w:val="both"/>
        <w:rPr>
          <w:rFonts w:hint="eastAsia"/>
          <w:sz w:val="36"/>
          <w:szCs w:val="44"/>
          <w:lang w:val="en-US" w:eastAsia="zh-CN"/>
        </w:rPr>
      </w:pPr>
      <w:r>
        <w:rPr>
          <w:rFonts w:hint="eastAsia"/>
          <w:sz w:val="36"/>
          <w:szCs w:val="44"/>
          <w:lang w:val="en-US" w:eastAsia="zh-CN"/>
        </w:rPr>
        <w:t>辅导员可将学生各项得分与全国均分作比较，有针对性的对学生的问题进行了解、分析、判断。分数越高，说明</w:t>
      </w:r>
      <w:bookmarkStart w:id="5" w:name="_GoBack"/>
      <w:bookmarkEnd w:id="5"/>
      <w:r>
        <w:rPr>
          <w:rFonts w:hint="eastAsia"/>
          <w:sz w:val="36"/>
          <w:szCs w:val="44"/>
          <w:lang w:val="en-US" w:eastAsia="zh-CN"/>
        </w:rPr>
        <w:t>问题越严重。</w:t>
      </w:r>
    </w:p>
    <w:p>
      <w:pPr>
        <w:jc w:val="both"/>
        <w:rPr>
          <w:rFonts w:hint="eastAsia"/>
          <w:sz w:val="36"/>
          <w:szCs w:val="44"/>
          <w:lang w:val="en-US" w:eastAsia="zh-CN"/>
        </w:rPr>
      </w:pPr>
    </w:p>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sz w:val="28"/>
          <w:szCs w:val="28"/>
          <w:lang w:val="en-US" w:eastAsia="zh-CN"/>
        </w:rPr>
      </w:pPr>
      <w:bookmarkStart w:id="0" w:name="_Toc429668846"/>
      <w:r>
        <w:rPr>
          <w:rFonts w:hint="eastAsia" w:ascii="仿宋" w:hAnsi="仿宋" w:eastAsia="仿宋" w:cs="仿宋"/>
          <w:b/>
          <w:bCs/>
          <w:kern w:val="0"/>
          <w:sz w:val="36"/>
          <w:szCs w:val="36"/>
          <w:lang w:val="en-US" w:eastAsia="zh-CN" w:bidi="ar"/>
        </w:rPr>
        <w:t>中国大学生心理健康测评筛查量表因子标准解释</w:t>
      </w:r>
    </w:p>
    <w:p>
      <w:pPr>
        <w:pStyle w:val="5"/>
        <w:widowControl/>
        <w:spacing w:after="0" w:afterAutospacing="0" w:line="360" w:lineRule="auto"/>
        <w:ind w:left="0" w:firstLine="560" w:firstLineChars="200"/>
        <w:jc w:val="both"/>
        <w:rPr>
          <w:rFonts w:hint="eastAsia" w:ascii="仿宋" w:hAnsi="仿宋" w:eastAsia="仿宋" w:cs="仿宋"/>
          <w:sz w:val="28"/>
          <w:szCs w:val="28"/>
          <w:lang w:val="en-US" w:eastAsia="zh-CN"/>
        </w:rPr>
      </w:pPr>
      <w:r>
        <w:rPr>
          <w:rFonts w:hint="eastAsia" w:ascii="仿宋" w:hAnsi="仿宋" w:eastAsia="仿宋" w:cs="仿宋"/>
          <w:b w:val="0"/>
          <w:bCs/>
          <w:caps/>
          <w:kern w:val="0"/>
          <w:sz w:val="28"/>
          <w:szCs w:val="28"/>
          <w:lang w:val="en-US" w:eastAsia="zh-CN" w:bidi="en-US"/>
        </w:rPr>
        <w:t>大学生心理健康筛查量表（College Students Mental Health Screening Scale）共96个项目，分为三级筛查，共22个筛查指标。一级筛查为严重心理问题筛查，包括幻觉等严重精神病性症状、自杀行为与意向两个指标；二级筛查为一般心理问题筛查，分为内化心理问题和外化心理问题两类，其中内化心理问题包括了焦虑、抑郁、偏执、自卑、敏感、社交恐惧、躯体化七个指标，外化心理问题包括了依赖、敌对攻击、冲动、强迫、网络成瘾、自伤行为、进食问题、睡眠困扰八个指标；三级筛查为发展性困扰筛查，包括了学校适应困难、人际关系困扰、学业压力、就业压力、恋爱困扰五个指标。其中一级和二级筛查为学生心理健康问题筛查的核心，而三级筛查主要反映学生心理困扰的来源以及提示可能的潜在心理问题，可供各高校自愿选用。具体如下：</w:t>
      </w:r>
    </w:p>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1 一级筛查</w:t>
      </w:r>
      <w:bookmarkEnd w:id="0"/>
    </w:p>
    <w:p>
      <w:pPr>
        <w:spacing w:after="0" w:line="360" w:lineRule="auto"/>
        <w:rPr>
          <w:rFonts w:hint="eastAsia" w:ascii="仿宋" w:hAnsi="仿宋" w:eastAsia="仿宋" w:cs="仿宋"/>
          <w:b w:val="0"/>
          <w:bCs/>
          <w:caps/>
          <w:sz w:val="28"/>
          <w:szCs w:val="28"/>
          <w:lang w:eastAsia="zh-CN"/>
        </w:rPr>
      </w:pPr>
      <w:r>
        <w:rPr>
          <w:rFonts w:hint="eastAsia" w:ascii="仿宋" w:hAnsi="仿宋" w:eastAsia="仿宋" w:cs="仿宋"/>
          <w:b w:val="0"/>
          <w:bCs/>
          <w:caps/>
          <w:sz w:val="28"/>
          <w:szCs w:val="28"/>
          <w:lang w:eastAsia="zh-CN"/>
        </w:rPr>
        <w:t>（1）幻觉等严重精神病性症状：主要评估个体是否存在幻听、幻视、被害妄想等大学生群体中常见的精神分裂症状。</w:t>
      </w:r>
    </w:p>
    <w:p>
      <w:pPr>
        <w:spacing w:after="0" w:line="360" w:lineRule="auto"/>
        <w:rPr>
          <w:rFonts w:hint="eastAsia" w:ascii="仿宋" w:hAnsi="仿宋" w:eastAsia="仿宋" w:cs="仿宋"/>
          <w:b w:val="0"/>
          <w:bCs/>
          <w:caps/>
          <w:sz w:val="28"/>
          <w:szCs w:val="28"/>
          <w:lang w:eastAsia="zh-CN"/>
        </w:rPr>
      </w:pPr>
      <w:r>
        <w:rPr>
          <w:rFonts w:hint="eastAsia" w:ascii="仿宋" w:hAnsi="仿宋" w:eastAsia="仿宋" w:cs="仿宋"/>
          <w:b w:val="0"/>
          <w:bCs/>
          <w:caps/>
          <w:sz w:val="28"/>
          <w:szCs w:val="28"/>
          <w:lang w:eastAsia="zh-CN"/>
        </w:rPr>
        <w:t>（2）自杀行为与意向：主要评估个体是否有过结束自己生命的行为、准备或想法。</w:t>
      </w:r>
    </w:p>
    <w:p>
      <w:pPr>
        <w:pStyle w:val="2"/>
        <w:rPr>
          <w:rFonts w:hint="eastAsia" w:ascii="仿宋" w:hAnsi="仿宋" w:eastAsia="仿宋" w:cs="仿宋"/>
          <w:sz w:val="28"/>
          <w:szCs w:val="28"/>
          <w:lang w:eastAsia="zh-CN"/>
        </w:rPr>
      </w:pPr>
      <w:bookmarkStart w:id="1" w:name="_Toc429668847"/>
      <w:r>
        <w:rPr>
          <w:rFonts w:hint="eastAsia" w:ascii="仿宋" w:hAnsi="仿宋" w:eastAsia="仿宋" w:cs="仿宋"/>
          <w:sz w:val="28"/>
          <w:szCs w:val="28"/>
          <w:lang w:eastAsia="zh-CN"/>
        </w:rPr>
        <w:t>2 二级筛查</w:t>
      </w:r>
      <w:bookmarkEnd w:id="1"/>
    </w:p>
    <w:p>
      <w:pPr>
        <w:pStyle w:val="3"/>
        <w:rPr>
          <w:rFonts w:hint="eastAsia" w:ascii="仿宋" w:hAnsi="仿宋" w:eastAsia="仿宋" w:cs="仿宋"/>
          <w:sz w:val="28"/>
          <w:szCs w:val="28"/>
          <w:lang w:eastAsia="zh-CN"/>
        </w:rPr>
      </w:pPr>
      <w:bookmarkStart w:id="2" w:name="_Toc429668848"/>
      <w:r>
        <w:rPr>
          <w:rFonts w:hint="eastAsia" w:ascii="仿宋" w:hAnsi="仿宋" w:eastAsia="仿宋" w:cs="仿宋"/>
          <w:sz w:val="28"/>
          <w:szCs w:val="28"/>
          <w:lang w:eastAsia="zh-CN"/>
        </w:rPr>
        <w:t>2.1 内化心理问题</w:t>
      </w:r>
      <w:bookmarkEnd w:id="2"/>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（1）焦虑：主要评估个体是否存在烦躁，坐立不安，神经过敏，紧张以及由此产生的躯体征象。</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（2）抑郁：主要评估个体是否存在以苦闷的情感与心境为代表性症状，以生活兴趣的减退、动力缺乏、活力丧失等为特征，以反映失望、悲观以及与抑郁相联系的认知和躯体方面的感受。</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（3）偏执：主要评估个体是否存在过敏多疑、固执己见和极易记恨，常处于戒备和紧张状态之中的不良个性特征。</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（4）自卑：主要评估个体是否缺乏客观的自我认识，不能悦纳自我，自我拒绝、自我否定等。</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（5）敏感：主要评估个体是否存在猜疑心重，过分在意他人不关注的小事，过分受他人评价和看法的影响等不良个性特征。</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6）社交恐惧：主要评估个体是否存在以害怕与人交往或当众说话，担心在别人面前出丑或处于难堪的境况，因而尽力回避为特征的一种恐怖障碍，主要表现为害怕与人交往，在不得不与他人交往时，常常有紧张、焦虑、不安、恐怖等情绪体验。</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（7）躯体化：主要评估个体是否存在心理障碍的躯体表现，包括心血管系统、呼吸系统、消化系统和运动系统等方面的主观不适体验。</w:t>
      </w:r>
    </w:p>
    <w:p>
      <w:pPr>
        <w:pStyle w:val="3"/>
        <w:rPr>
          <w:rFonts w:hint="eastAsia" w:ascii="仿宋" w:hAnsi="仿宋" w:eastAsia="仿宋" w:cs="仿宋"/>
          <w:sz w:val="28"/>
          <w:szCs w:val="28"/>
          <w:lang w:eastAsia="zh-CN"/>
        </w:rPr>
      </w:pPr>
      <w:bookmarkStart w:id="3" w:name="_Toc429668849"/>
      <w:r>
        <w:rPr>
          <w:rFonts w:hint="eastAsia" w:ascii="仿宋" w:hAnsi="仿宋" w:eastAsia="仿宋" w:cs="仿宋"/>
          <w:sz w:val="28"/>
          <w:szCs w:val="28"/>
          <w:lang w:eastAsia="zh-CN"/>
        </w:rPr>
        <w:t>2.2 外化心理问题</w:t>
      </w:r>
      <w:bookmarkEnd w:id="3"/>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（1）依赖：主要评估个体是否存在一种过分顺从别人的意志、严重缺乏独立性的不良个性特征，主要表现为自感无能、极端顺从和缺乏活力。</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（2）敌对攻击：主要评估个体是否在思想、感情及行为上存在敌对表现，主要表现为厌烦的感觉，摔物，争论直到不可控制的脾气暴发等各方面。</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3）冲动：主要评估个体是否存在以情绪不稳定和缺乏控制为特点的一种不良个性倾向，主要表现为易因微小刺激而突然爆发强烈的愤怒和冲动，甚至是暴力或威胁性行为，自己完全不能控制，发作后又会懊悔但却不能防止再发。</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（4）强迫：主要评估个体是否存在指一种墨守陈规、过分疑虑、过分追求完美的性格特征，突出表现为明知没有必要，但又无法摆脱的无意义的思想、冲动和行为。</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（5）网络成瘾：主要评估个体是否存在网络过度使用或病理性网络使用，主要表现为由于过度使用网络而导致明显的社会、心理功能损害。</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（6）自伤行为：主要评估个体是否在没有明确自杀意图的情况下，存在故意、重复地改变或伤害自己的身体组织的行为。</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（7）进食问题：主要评估个体是否存在以进食行为异常为显著特征的一组综合征。</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（8）睡眠困扰：主要评估个体是否存在睡眠过多、睡眠过少或和睡眠相关的问题症状。</w:t>
      </w:r>
    </w:p>
    <w:p>
      <w:pPr>
        <w:pStyle w:val="2"/>
        <w:rPr>
          <w:rFonts w:hint="eastAsia" w:ascii="仿宋" w:hAnsi="仿宋" w:eastAsia="仿宋" w:cs="仿宋"/>
          <w:sz w:val="28"/>
          <w:szCs w:val="28"/>
          <w:lang w:eastAsia="zh-CN"/>
        </w:rPr>
      </w:pPr>
      <w:bookmarkStart w:id="4" w:name="_Toc429668850"/>
      <w:r>
        <w:rPr>
          <w:rFonts w:hint="eastAsia" w:ascii="仿宋" w:hAnsi="仿宋" w:eastAsia="仿宋" w:cs="仿宋"/>
          <w:sz w:val="28"/>
          <w:szCs w:val="28"/>
          <w:lang w:eastAsia="zh-CN"/>
        </w:rPr>
        <w:t>3 三级筛查</w:t>
      </w:r>
      <w:bookmarkEnd w:id="4"/>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（1）学校适应困难：主要评估个体对大学校园生活方式、班集体生活、食宿条件等的总体适应情况。</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（2）人际关系困扰：主要评估个体在与他人相处过程中的和谐融洽程度。</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（3）学业压力：主要评估个体在大学学习过程中的适应水平。</w:t>
      </w:r>
    </w:p>
    <w:p>
      <w:pPr>
        <w:spacing w:after="0" w:line="360" w:lineRule="auto"/>
        <w:rPr>
          <w:rFonts w:hint="eastAsia" w:ascii="仿宋" w:hAnsi="仿宋" w:eastAsia="仿宋" w:cs="仿宋"/>
          <w:bCs/>
          <w:caps/>
          <w:sz w:val="28"/>
          <w:szCs w:val="28"/>
          <w:lang w:eastAsia="zh-CN"/>
        </w:rPr>
      </w:pPr>
      <w:r>
        <w:rPr>
          <w:rFonts w:hint="eastAsia" w:ascii="仿宋" w:hAnsi="仿宋" w:eastAsia="仿宋" w:cs="仿宋"/>
          <w:bCs/>
          <w:caps/>
          <w:sz w:val="28"/>
          <w:szCs w:val="28"/>
          <w:lang w:eastAsia="zh-CN"/>
        </w:rPr>
        <w:t>（4）就业压力：主要评估个体是否存在就业或准备就业相关的困扰。</w:t>
      </w:r>
    </w:p>
    <w:p>
      <w:pPr>
        <w:spacing w:after="0" w:line="360" w:lineRule="auto"/>
        <w:rPr>
          <w:rFonts w:hint="eastAsia"/>
          <w:sz w:val="36"/>
          <w:szCs w:val="44"/>
          <w:lang w:val="en-US" w:eastAsia="zh-CN"/>
        </w:rPr>
      </w:pPr>
      <w:r>
        <w:rPr>
          <w:rFonts w:hint="eastAsia" w:ascii="仿宋" w:hAnsi="仿宋" w:eastAsia="仿宋" w:cs="仿宋"/>
          <w:bCs/>
          <w:caps/>
          <w:sz w:val="28"/>
          <w:szCs w:val="28"/>
          <w:lang w:eastAsia="zh-CN"/>
        </w:rPr>
        <w:t>（5）恋爱困扰：主要评估个体在恋爱过程中的困扰或未能恋爱的困扰。</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20"/>
    <w:rsid w:val="00021215"/>
    <w:rsid w:val="00063155"/>
    <w:rsid w:val="000A4132"/>
    <w:rsid w:val="000B7667"/>
    <w:rsid w:val="000E423C"/>
    <w:rsid w:val="000F1B51"/>
    <w:rsid w:val="00113A62"/>
    <w:rsid w:val="00127A4D"/>
    <w:rsid w:val="001362E3"/>
    <w:rsid w:val="00142CB1"/>
    <w:rsid w:val="00173986"/>
    <w:rsid w:val="00175E1A"/>
    <w:rsid w:val="00195666"/>
    <w:rsid w:val="00195A46"/>
    <w:rsid w:val="0019636A"/>
    <w:rsid w:val="001A4357"/>
    <w:rsid w:val="001B165E"/>
    <w:rsid w:val="00205FA2"/>
    <w:rsid w:val="0023218E"/>
    <w:rsid w:val="0026050B"/>
    <w:rsid w:val="00280587"/>
    <w:rsid w:val="0029101A"/>
    <w:rsid w:val="002962B3"/>
    <w:rsid w:val="002D10C2"/>
    <w:rsid w:val="002E70E2"/>
    <w:rsid w:val="00355E66"/>
    <w:rsid w:val="00420A97"/>
    <w:rsid w:val="0043651A"/>
    <w:rsid w:val="004A73A2"/>
    <w:rsid w:val="004C4134"/>
    <w:rsid w:val="00503705"/>
    <w:rsid w:val="005208FC"/>
    <w:rsid w:val="00521A8C"/>
    <w:rsid w:val="00571D9B"/>
    <w:rsid w:val="00582C98"/>
    <w:rsid w:val="005B5B80"/>
    <w:rsid w:val="005C5C4F"/>
    <w:rsid w:val="0064144A"/>
    <w:rsid w:val="00683AFC"/>
    <w:rsid w:val="006C2CE2"/>
    <w:rsid w:val="006D2211"/>
    <w:rsid w:val="00722F93"/>
    <w:rsid w:val="0072363B"/>
    <w:rsid w:val="00736855"/>
    <w:rsid w:val="00736E44"/>
    <w:rsid w:val="00747FBC"/>
    <w:rsid w:val="00750162"/>
    <w:rsid w:val="00782C47"/>
    <w:rsid w:val="007C2820"/>
    <w:rsid w:val="007C38C3"/>
    <w:rsid w:val="007E7194"/>
    <w:rsid w:val="00896C69"/>
    <w:rsid w:val="00897542"/>
    <w:rsid w:val="008B7FD3"/>
    <w:rsid w:val="0092789D"/>
    <w:rsid w:val="009413F8"/>
    <w:rsid w:val="00942AE6"/>
    <w:rsid w:val="00947C99"/>
    <w:rsid w:val="009824AD"/>
    <w:rsid w:val="009A4E05"/>
    <w:rsid w:val="009C50E5"/>
    <w:rsid w:val="009C696C"/>
    <w:rsid w:val="00A13A7B"/>
    <w:rsid w:val="00A214A5"/>
    <w:rsid w:val="00A40FF3"/>
    <w:rsid w:val="00A4270D"/>
    <w:rsid w:val="00AB7982"/>
    <w:rsid w:val="00AD349E"/>
    <w:rsid w:val="00B05552"/>
    <w:rsid w:val="00B2038C"/>
    <w:rsid w:val="00B73912"/>
    <w:rsid w:val="00B84FE7"/>
    <w:rsid w:val="00B86432"/>
    <w:rsid w:val="00BD1A84"/>
    <w:rsid w:val="00C03D1E"/>
    <w:rsid w:val="00C80DBC"/>
    <w:rsid w:val="00C97DBE"/>
    <w:rsid w:val="00CB6692"/>
    <w:rsid w:val="00CC0327"/>
    <w:rsid w:val="00CC6533"/>
    <w:rsid w:val="00D020AC"/>
    <w:rsid w:val="00D1154D"/>
    <w:rsid w:val="00D52D75"/>
    <w:rsid w:val="00D71157"/>
    <w:rsid w:val="00D857D7"/>
    <w:rsid w:val="00DF3B97"/>
    <w:rsid w:val="00E23CA4"/>
    <w:rsid w:val="00E43138"/>
    <w:rsid w:val="00E65AEB"/>
    <w:rsid w:val="00F361C2"/>
    <w:rsid w:val="00F745A9"/>
    <w:rsid w:val="00FA22E6"/>
    <w:rsid w:val="00FF0249"/>
    <w:rsid w:val="22BB15E1"/>
    <w:rsid w:val="2BE7450A"/>
    <w:rsid w:val="2E9F0E3C"/>
    <w:rsid w:val="397065FD"/>
    <w:rsid w:val="43BC21E4"/>
    <w:rsid w:val="4C6C5C9D"/>
    <w:rsid w:val="51057193"/>
    <w:rsid w:val="6E925CA3"/>
    <w:rsid w:val="6F476CDB"/>
    <w:rsid w:val="75254BA8"/>
    <w:rsid w:val="7FE27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en-US"/>
    </w:rPr>
  </w:style>
  <w:style w:type="paragraph" w:styleId="2">
    <w:name w:val="heading 2"/>
    <w:basedOn w:val="1"/>
    <w:next w:val="1"/>
    <w:link w:val="8"/>
    <w:unhideWhenUsed/>
    <w:qFormat/>
    <w:uiPriority w:val="9"/>
    <w:pPr>
      <w:keepNext/>
      <w:keepLines/>
      <w:spacing w:before="200" w:after="0"/>
      <w:outlineLvl w:val="1"/>
    </w:pPr>
    <w:rPr>
      <w:rFonts w:ascii="Cambria" w:hAnsi="Cambria" w:cs="宋体"/>
      <w:b/>
      <w:bCs/>
      <w:sz w:val="24"/>
      <w:szCs w:val="26"/>
      <w:lang w:bidi="ar-SA"/>
    </w:rPr>
  </w:style>
  <w:style w:type="paragraph" w:styleId="3">
    <w:name w:val="heading 3"/>
    <w:basedOn w:val="1"/>
    <w:next w:val="1"/>
    <w:link w:val="9"/>
    <w:unhideWhenUsed/>
    <w:qFormat/>
    <w:uiPriority w:val="9"/>
    <w:pPr>
      <w:keepNext/>
      <w:keepLines/>
      <w:spacing w:before="200" w:after="0"/>
      <w:outlineLvl w:val="2"/>
    </w:pPr>
    <w:rPr>
      <w:rFonts w:ascii="Cambria" w:hAnsi="Cambria" w:cs="宋体"/>
      <w:b/>
      <w:bCs/>
      <w:color w:val="000000"/>
      <w:sz w:val="21"/>
      <w:szCs w:val="20"/>
      <w:lang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rPr>
  </w:style>
  <w:style w:type="paragraph" w:styleId="5">
    <w:name w:val="toc 1"/>
    <w:basedOn w:val="1"/>
    <w:next w:val="1"/>
    <w:unhideWhenUsed/>
    <w:qFormat/>
    <w:uiPriority w:val="39"/>
    <w:pPr>
      <w:keepNext w:val="0"/>
      <w:keepLines w:val="0"/>
      <w:widowControl/>
      <w:suppressLineNumbers w:val="0"/>
      <w:spacing w:before="120" w:beforeAutospacing="0" w:after="120" w:afterAutospacing="0" w:line="276" w:lineRule="auto"/>
      <w:ind w:left="0" w:right="0"/>
      <w:jc w:val="left"/>
    </w:pPr>
    <w:rPr>
      <w:rFonts w:hint="default" w:ascii="Calibri" w:hAnsi="Calibri" w:eastAsia="宋体" w:cs="Times New Roman"/>
      <w:b/>
      <w:caps/>
      <w:kern w:val="0"/>
      <w:sz w:val="20"/>
      <w:szCs w:val="20"/>
      <w:lang w:val="en-US" w:eastAsia="zh-CN" w:bidi="ar"/>
    </w:rPr>
  </w:style>
  <w:style w:type="character" w:customStyle="1" w:styleId="8">
    <w:name w:val="标题 2 Char"/>
    <w:basedOn w:val="6"/>
    <w:link w:val="2"/>
    <w:semiHidden/>
    <w:qFormat/>
    <w:uiPriority w:val="9"/>
    <w:rPr>
      <w:rFonts w:ascii="Cambria" w:hAnsi="Cambria" w:eastAsia="宋体" w:cs="宋体"/>
      <w:b/>
      <w:bCs/>
      <w:kern w:val="0"/>
      <w:sz w:val="24"/>
      <w:szCs w:val="26"/>
      <w:lang w:eastAsia="en-US"/>
    </w:rPr>
  </w:style>
  <w:style w:type="character" w:customStyle="1" w:styleId="9">
    <w:name w:val="标题 3 Char"/>
    <w:basedOn w:val="6"/>
    <w:link w:val="3"/>
    <w:semiHidden/>
    <w:qFormat/>
    <w:uiPriority w:val="9"/>
    <w:rPr>
      <w:rFonts w:ascii="Cambria" w:hAnsi="Cambria" w:eastAsia="宋体" w:cs="宋体"/>
      <w:b/>
      <w:bCs/>
      <w:color w:val="000000"/>
      <w:kern w:val="0"/>
      <w:szCs w:val="20"/>
      <w:lang w:eastAsia="en-US"/>
    </w:rPr>
  </w:style>
  <w:style w:type="character" w:customStyle="1" w:styleId="10">
    <w:name w:val="页脚 Char1"/>
    <w:basedOn w:val="6"/>
    <w:qFormat/>
    <w:uiPriority w:val="0"/>
    <w:rPr>
      <w:sz w:val="18"/>
      <w:szCs w:val="18"/>
      <w:lang w:eastAsia="en-US" w:bidi="en-US"/>
    </w:rPr>
  </w:style>
  <w:style w:type="paragraph" w:customStyle="1" w:styleId="11">
    <w:name w:val="msolistparagraph"/>
    <w:basedOn w:val="1"/>
    <w:qFormat/>
    <w:uiPriority w:val="0"/>
    <w:pPr>
      <w:keepNext w:val="0"/>
      <w:keepLines w:val="0"/>
      <w:widowControl/>
      <w:suppressLineNumbers w:val="0"/>
      <w:spacing w:before="0" w:beforeAutospacing="0" w:after="200" w:afterAutospacing="0" w:line="276" w:lineRule="auto"/>
      <w:ind w:left="720" w:right="0"/>
      <w:contextualSpacing/>
      <w:jc w:val="left"/>
    </w:pPr>
    <w:rPr>
      <w:rFonts w:hint="default" w:ascii="Calibri" w:hAnsi="Calibri" w:eastAsia="宋体" w:cs="Times New Roman"/>
      <w:kern w:val="0"/>
      <w:sz w:val="22"/>
      <w:szCs w:val="22"/>
      <w:lang w:val="en-US" w:eastAsia="zh-CN" w:bidi="ar"/>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188</Words>
  <Characters>1074</Characters>
  <Lines>8</Lines>
  <Paragraphs>2</Paragraphs>
  <TotalTime>5</TotalTime>
  <ScaleCrop>false</ScaleCrop>
  <LinksUpToDate>false</LinksUpToDate>
  <CharactersWithSpaces>1260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2016-05-04T02:20:00Z</dcterms:created>
  <dc:creator>admin</dc:creator>
  <cp:lastModifiedBy>Administrator</cp:lastModifiedBy>
  <dcterms:modified xsi:type="dcterms:W3CDTF">2018-09-10T00:38:57Z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